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717F6" w14:textId="77777777" w:rsidR="00273A93" w:rsidRPr="00273A93" w:rsidRDefault="00D34811" w:rsidP="00273A93">
      <w:pPr>
        <w:pStyle w:val="NormalWeb"/>
        <w:jc w:val="center"/>
        <w:rPr>
          <w:rFonts w:ascii="Helvetica Neue Thin" w:hAnsi="Helvetica Neue Thin"/>
          <w:color w:val="193D5C"/>
          <w:sz w:val="64"/>
          <w:szCs w:val="64"/>
        </w:rPr>
      </w:pPr>
      <w:r w:rsidRPr="00273A93">
        <w:rPr>
          <w:rFonts w:ascii="Helvetica Neue Thin" w:hAnsi="Helvetica Neue Thin"/>
          <w:noProof/>
          <w:color w:val="193D5C"/>
          <w:sz w:val="56"/>
          <w:szCs w:val="56"/>
          <w14:ligatures w14:val="standardContextual"/>
        </w:rPr>
        <w:drawing>
          <wp:inline distT="0" distB="0" distL="0" distR="0" wp14:anchorId="1216B2B2" wp14:editId="3FA34AE1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4175" cy="12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A66DE" w14:textId="310052D9" w:rsidR="00273A93" w:rsidRPr="00273A93" w:rsidRDefault="00273A93" w:rsidP="00273A93">
      <w:pPr>
        <w:pStyle w:val="NormalWeb"/>
        <w:jc w:val="center"/>
        <w:rPr>
          <w:rFonts w:ascii="Helvetica Neue Thin" w:hAnsi="Helvetica Neue Thin"/>
        </w:rPr>
      </w:pPr>
      <w:r w:rsidRPr="00273A93">
        <w:rPr>
          <w:rFonts w:ascii="Helvetica Neue Thin" w:hAnsi="Helvetica Neue Thin"/>
          <w:color w:val="193D5C"/>
          <w:sz w:val="64"/>
          <w:szCs w:val="64"/>
        </w:rPr>
        <w:t>Entity Decision Matrix</w:t>
      </w:r>
    </w:p>
    <w:p w14:paraId="5FB93973" w14:textId="77777777" w:rsidR="00273A93" w:rsidRDefault="00273A93" w:rsidP="00273A93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273A93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This matrix is designed to help you compare the most common legal ownership structures for a custom home build. Use it to evaluate the pros and cons of each path based on your personal financial situation, risk tolerance, and project goals. Disclaimer: This is an educational tool, not legal or tax advice. You must consult with a qualified attorney and CPA to choose the right entity for your specific circumstances.</w:t>
      </w:r>
    </w:p>
    <w:p w14:paraId="22D23BB8" w14:textId="77777777" w:rsidR="00997892" w:rsidRPr="00D34811" w:rsidRDefault="00997892" w:rsidP="00997892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Project Title: _______________________________________________________________</w:t>
      </w:r>
    </w:p>
    <w:p w14:paraId="427F2599" w14:textId="203D50CB" w:rsidR="00997892" w:rsidRPr="00273A93" w:rsidRDefault="00997892" w:rsidP="00997892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Date: 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91"/>
        <w:gridCol w:w="1774"/>
        <w:gridCol w:w="2051"/>
        <w:gridCol w:w="2089"/>
        <w:gridCol w:w="1879"/>
        <w:gridCol w:w="1806"/>
      </w:tblGrid>
      <w:tr w:rsidR="00273A93" w:rsidRPr="00273A93" w14:paraId="55F3425B" w14:textId="77777777" w:rsidTr="00273A93">
        <w:tc>
          <w:tcPr>
            <w:tcW w:w="1191" w:type="dxa"/>
            <w:hideMark/>
          </w:tcPr>
          <w:p w14:paraId="5FDDD2B5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  <w:t>Ownership Option</w:t>
            </w:r>
          </w:p>
        </w:tc>
        <w:tc>
          <w:tcPr>
            <w:tcW w:w="1774" w:type="dxa"/>
            <w:hideMark/>
          </w:tcPr>
          <w:p w14:paraId="5BE9531A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  <w:t>Liability Protection</w:t>
            </w:r>
          </w:p>
        </w:tc>
        <w:tc>
          <w:tcPr>
            <w:tcW w:w="2051" w:type="dxa"/>
            <w:hideMark/>
          </w:tcPr>
          <w:p w14:paraId="2125F51F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  <w:t>Impact on Financing</w:t>
            </w:r>
          </w:p>
        </w:tc>
        <w:tc>
          <w:tcPr>
            <w:tcW w:w="2089" w:type="dxa"/>
            <w:hideMark/>
          </w:tcPr>
          <w:p w14:paraId="48397696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  <w:t>Key Tax Implications</w:t>
            </w:r>
          </w:p>
        </w:tc>
        <w:tc>
          <w:tcPr>
            <w:tcW w:w="1879" w:type="dxa"/>
            <w:hideMark/>
          </w:tcPr>
          <w:p w14:paraId="5F87278A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  <w:t>Setup Cost &amp; Complexity</w:t>
            </w:r>
          </w:p>
        </w:tc>
        <w:tc>
          <w:tcPr>
            <w:tcW w:w="1806" w:type="dxa"/>
            <w:hideMark/>
          </w:tcPr>
          <w:p w14:paraId="5F04CB2C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:u w:val="single"/>
                <w14:ligatures w14:val="none"/>
              </w:rPr>
              <w:t>Ongoing Compliance</w:t>
            </w:r>
          </w:p>
        </w:tc>
      </w:tr>
      <w:tr w:rsidR="00273A93" w:rsidRPr="00273A93" w14:paraId="4A6C12F6" w14:textId="77777777" w:rsidTr="00273A93">
        <w:tc>
          <w:tcPr>
            <w:tcW w:w="1191" w:type="dxa"/>
            <w:hideMark/>
          </w:tcPr>
          <w:p w14:paraId="7045820F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Personal Ownership</w:t>
            </w:r>
          </w:p>
        </w:tc>
        <w:tc>
          <w:tcPr>
            <w:tcW w:w="1774" w:type="dxa"/>
            <w:hideMark/>
          </w:tcPr>
          <w:p w14:paraId="359B73F5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None. Your personal assets (home, savings, etc.) are at risk from lawsuits related to the project.</w:t>
            </w:r>
          </w:p>
        </w:tc>
        <w:tc>
          <w:tcPr>
            <w:tcW w:w="2051" w:type="dxa"/>
            <w:hideMark/>
          </w:tcPr>
          <w:p w14:paraId="27BC573F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Easiest. Lenders are most familiar with this path; standard residential mortgage process.</w:t>
            </w:r>
          </w:p>
        </w:tc>
        <w:tc>
          <w:tcPr>
            <w:tcW w:w="2089" w:type="dxa"/>
            <w:hideMark/>
          </w:tcPr>
          <w:p w14:paraId="7F6BCC2C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Simple. Capital gains on the sale of a primary residence are largely excluded. Mortgage interest is deductible. No depreciation benefits.</w:t>
            </w:r>
          </w:p>
        </w:tc>
        <w:tc>
          <w:tcPr>
            <w:tcW w:w="1879" w:type="dxa"/>
            <w:hideMark/>
          </w:tcPr>
          <w:p w14:paraId="6584AE57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None. This is the default ownership structure with no setup cost or complexity.</w:t>
            </w:r>
          </w:p>
        </w:tc>
        <w:tc>
          <w:tcPr>
            <w:tcW w:w="1806" w:type="dxa"/>
            <w:hideMark/>
          </w:tcPr>
          <w:p w14:paraId="2E213146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None. No special filings or fees are required.</w:t>
            </w:r>
          </w:p>
        </w:tc>
      </w:tr>
      <w:tr w:rsidR="00273A93" w:rsidRPr="00273A93" w14:paraId="1885FB60" w14:textId="77777777" w:rsidTr="00273A93">
        <w:tc>
          <w:tcPr>
            <w:tcW w:w="1191" w:type="dxa"/>
            <w:hideMark/>
          </w:tcPr>
          <w:p w14:paraId="2F203A9D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Single-Member LLC (SMLLC)</w:t>
            </w:r>
          </w:p>
        </w:tc>
        <w:tc>
          <w:tcPr>
            <w:tcW w:w="1774" w:type="dxa"/>
            <w:hideMark/>
          </w:tcPr>
          <w:p w14:paraId="02756B4F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Good. Creates a "corporate veil" to shield personal assets from project liabilities (e.g., subcontractor lawsuits), provided formalities are followed.</w:t>
            </w:r>
          </w:p>
        </w:tc>
        <w:tc>
          <w:tcPr>
            <w:tcW w:w="2051" w:type="dxa"/>
            <w:hideMark/>
          </w:tcPr>
          <w:p w14:paraId="6DA27A1B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More Complex. Lenders often treat this as a commercial loan, which may have higher rates. A personal guarantee will almost always be required, making you personally liable for the loan itself.</w:t>
            </w:r>
          </w:p>
        </w:tc>
        <w:tc>
          <w:tcPr>
            <w:tcW w:w="2089" w:type="dxa"/>
            <w:hideMark/>
          </w:tcPr>
          <w:p w14:paraId="0D3357CC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Flexible. A "pass-through" entity by default (income/loss reported on your personal return). Can allow for depreciation if it's an investment property.</w:t>
            </w:r>
          </w:p>
        </w:tc>
        <w:tc>
          <w:tcPr>
            <w:tcW w:w="1879" w:type="dxa"/>
            <w:hideMark/>
          </w:tcPr>
          <w:p w14:paraId="05BBEC6D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Moderate. Requires state filing fees, creating an operating agreement, and potentially a registered agent fee.</w:t>
            </w:r>
          </w:p>
        </w:tc>
        <w:tc>
          <w:tcPr>
            <w:tcW w:w="1806" w:type="dxa"/>
            <w:hideMark/>
          </w:tcPr>
          <w:p w14:paraId="1569D7BC" w14:textId="36725BBD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Moderate. Requires annual state reports/fees and maintaining a separate bank account and records is critical to preserve the liability shield.</w:t>
            </w:r>
          </w:p>
        </w:tc>
      </w:tr>
      <w:tr w:rsidR="00273A93" w:rsidRPr="00273A93" w14:paraId="26CE411C" w14:textId="77777777" w:rsidTr="00273A93">
        <w:tc>
          <w:tcPr>
            <w:tcW w:w="1191" w:type="dxa"/>
            <w:hideMark/>
          </w:tcPr>
          <w:p w14:paraId="67094E91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Multi-Member LLC / LP</w:t>
            </w:r>
          </w:p>
        </w:tc>
        <w:tc>
          <w:tcPr>
            <w:tcW w:w="1774" w:type="dxa"/>
            <w:hideMark/>
          </w:tcPr>
          <w:p w14:paraId="6B17EF75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Good. Shields the personal assets of all members/partners from business debts and lawsuits.</w:t>
            </w:r>
          </w:p>
        </w:tc>
        <w:tc>
          <w:tcPr>
            <w:tcW w:w="2051" w:type="dxa"/>
            <w:hideMark/>
          </w:tcPr>
          <w:p w14:paraId="104A5318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Commercial Loan. All members will likely need to provide personal guarantees. Can be harder to coordinate among partners.</w:t>
            </w:r>
          </w:p>
        </w:tc>
        <w:tc>
          <w:tcPr>
            <w:tcW w:w="2089" w:type="dxa"/>
            <w:hideMark/>
          </w:tcPr>
          <w:p w14:paraId="0E626F4D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 xml:space="preserve">Partnership Taxation. Requires a separate partnership tax return (Form 1065). Allows for complex profit/loss allocations between </w:t>
            </w:r>
            <w:proofErr w:type="gramStart"/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partners, but</w:t>
            </w:r>
            <w:proofErr w:type="gramEnd"/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 xml:space="preserve"> requires more accounting.</w:t>
            </w:r>
          </w:p>
        </w:tc>
        <w:tc>
          <w:tcPr>
            <w:tcW w:w="1879" w:type="dxa"/>
            <w:hideMark/>
          </w:tcPr>
          <w:p w14:paraId="71549D8F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High. Requires a robust, attorney-drafted operating/partnership agreement to define roles, contributions, and exit strategies.</w:t>
            </w:r>
          </w:p>
        </w:tc>
        <w:tc>
          <w:tcPr>
            <w:tcW w:w="1806" w:type="dxa"/>
            <w:hideMark/>
          </w:tcPr>
          <w:p w14:paraId="562D66D1" w14:textId="5C362864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High. Requires strict financial separation, annual filings, and partnership tax returns.</w:t>
            </w:r>
          </w:p>
        </w:tc>
      </w:tr>
      <w:tr w:rsidR="00273A93" w:rsidRPr="00273A93" w14:paraId="2EAE9906" w14:textId="77777777" w:rsidTr="00273A93">
        <w:tc>
          <w:tcPr>
            <w:tcW w:w="1191" w:type="dxa"/>
            <w:hideMark/>
          </w:tcPr>
          <w:p w14:paraId="51A49933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S-Corporation</w:t>
            </w:r>
          </w:p>
        </w:tc>
        <w:tc>
          <w:tcPr>
            <w:tcW w:w="1774" w:type="dxa"/>
            <w:hideMark/>
          </w:tcPr>
          <w:p w14:paraId="3296250D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 xml:space="preserve">Good. Provides a strong liability shield for shareholders, </w:t>
            </w:r>
            <w:proofErr w:type="gramStart"/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similar to</w:t>
            </w:r>
            <w:proofErr w:type="gramEnd"/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 xml:space="preserve"> an LLC.</w:t>
            </w:r>
          </w:p>
        </w:tc>
        <w:tc>
          <w:tcPr>
            <w:tcW w:w="2051" w:type="dxa"/>
            <w:hideMark/>
          </w:tcPr>
          <w:p w14:paraId="4518304D" w14:textId="52B34A41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 xml:space="preserve">Commercial Loan. </w:t>
            </w:r>
            <w:proofErr w:type="gramStart"/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Similar to</w:t>
            </w:r>
            <w:proofErr w:type="gramEnd"/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 xml:space="preserve"> an LLC, lenders will require personal guarantees from shareholders.</w:t>
            </w:r>
          </w:p>
        </w:tc>
        <w:tc>
          <w:tcPr>
            <w:tcW w:w="2089" w:type="dxa"/>
            <w:hideMark/>
          </w:tcPr>
          <w:p w14:paraId="4C01C5E0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Pass-through. Can offer self-employment tax savings if you pay yourself a salary (less common for a one-off build). More rigid profit/loss rules than an LLC.</w:t>
            </w:r>
          </w:p>
        </w:tc>
        <w:tc>
          <w:tcPr>
            <w:tcW w:w="1879" w:type="dxa"/>
            <w:hideMark/>
          </w:tcPr>
          <w:p w14:paraId="7B10FC49" w14:textId="7777777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High. More formal than an LLC, requiring bylaws, issuing stock, and holding board meetings.</w:t>
            </w:r>
          </w:p>
        </w:tc>
        <w:tc>
          <w:tcPr>
            <w:tcW w:w="1806" w:type="dxa"/>
            <w:hideMark/>
          </w:tcPr>
          <w:p w14:paraId="55AB7B86" w14:textId="24B87027" w:rsidR="00273A93" w:rsidRPr="00273A93" w:rsidRDefault="00273A93" w:rsidP="00273A93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273A93">
              <w:rPr>
                <w:rFonts w:ascii="Helvetica Neue Thin" w:eastAsia="Times New Roman" w:hAnsi="Helvetica Neue Thin" w:cs="Arial"/>
                <w:color w:val="000000"/>
                <w:kern w:val="0"/>
                <w:sz w:val="18"/>
                <w:szCs w:val="18"/>
                <w14:ligatures w14:val="none"/>
              </w:rPr>
              <w:t>Highest. Requires strict adherence to corporate formalities, including regular meetings, keeping minutes, and corporate tax filings.</w:t>
            </w:r>
          </w:p>
        </w:tc>
      </w:tr>
    </w:tbl>
    <w:p w14:paraId="6156E278" w14:textId="47B647CC" w:rsidR="00733074" w:rsidRPr="00997892" w:rsidRDefault="00997892" w:rsidP="00273A93">
      <w:pPr>
        <w:pStyle w:val="NormalWeb"/>
        <w:rPr>
          <w:rFonts w:ascii="Helvetica Neue Thin" w:hAnsi="Helvetica Neue Thin"/>
          <w:color w:val="193D5C"/>
        </w:rPr>
      </w:pPr>
      <w:r>
        <w:rPr>
          <w:rFonts w:ascii="Helvetica Neue Thin" w:hAnsi="Helvetica Neue Thin"/>
          <w:color w:val="193D5C"/>
        </w:rPr>
        <w:t>Notes: ___________________________________________________________________</w:t>
      </w:r>
    </w:p>
    <w:sectPr w:rsidR="00733074" w:rsidRPr="00997892" w:rsidSect="00EB421C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4764F" w14:textId="77777777" w:rsidR="001743F1" w:rsidRDefault="001743F1" w:rsidP="00D34811">
      <w:pPr>
        <w:spacing w:after="0" w:line="240" w:lineRule="auto"/>
      </w:pPr>
      <w:r>
        <w:separator/>
      </w:r>
    </w:p>
  </w:endnote>
  <w:endnote w:type="continuationSeparator" w:id="0">
    <w:p w14:paraId="53C7F4B2" w14:textId="77777777" w:rsidR="001743F1" w:rsidRDefault="001743F1" w:rsidP="00D34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FBED4" w14:textId="77777777" w:rsidR="001743F1" w:rsidRDefault="001743F1" w:rsidP="00D34811">
      <w:pPr>
        <w:spacing w:after="0" w:line="240" w:lineRule="auto"/>
      </w:pPr>
      <w:r>
        <w:separator/>
      </w:r>
    </w:p>
  </w:footnote>
  <w:footnote w:type="continuationSeparator" w:id="0">
    <w:p w14:paraId="4001C64A" w14:textId="77777777" w:rsidR="001743F1" w:rsidRDefault="001743F1" w:rsidP="00D34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3C1B0" w14:textId="5AC3A580" w:rsidR="00D34811" w:rsidRPr="00954527" w:rsidRDefault="00D34811" w:rsidP="00D34811">
    <w:pPr>
      <w:pStyle w:val="Header"/>
      <w:jc w:val="right"/>
      <w:rPr>
        <w:rFonts w:ascii="Helvetica Neue UltraLight" w:hAnsi="Helvetica Neue UltraLight"/>
        <w:sz w:val="20"/>
        <w:szCs w:val="20"/>
      </w:rPr>
    </w:pPr>
    <w:r w:rsidRPr="00954527">
      <w:rPr>
        <w:rFonts w:ascii="Helvetica Neue UltraLight" w:hAnsi="Helvetica Neue UltraLight"/>
        <w:sz w:val="20"/>
        <w:szCs w:val="20"/>
      </w:rPr>
      <w:t xml:space="preserve">Module </w:t>
    </w:r>
    <w:r w:rsidR="00273A93">
      <w:rPr>
        <w:rFonts w:ascii="Helvetica Neue UltraLight" w:hAnsi="Helvetica Neue UltraLight"/>
        <w:sz w:val="20"/>
        <w:szCs w:val="20"/>
      </w:rPr>
      <w:t>2</w:t>
    </w:r>
    <w:r w:rsidR="00C01DE3">
      <w:rPr>
        <w:rFonts w:ascii="Helvetica Neue UltraLight" w:hAnsi="Helvetica Neue UltraLight"/>
        <w:sz w:val="20"/>
        <w:szCs w:val="20"/>
      </w:rPr>
      <w:t xml:space="preserve"> Lesson </w:t>
    </w:r>
    <w:r w:rsidR="00273A93">
      <w:rPr>
        <w:rFonts w:ascii="Helvetica Neue UltraLight" w:hAnsi="Helvetica Neue UltraLight"/>
        <w:sz w:val="20"/>
        <w:szCs w:val="20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50CDD"/>
    <w:multiLevelType w:val="multilevel"/>
    <w:tmpl w:val="70A0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8755F"/>
    <w:multiLevelType w:val="multilevel"/>
    <w:tmpl w:val="2090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73361"/>
    <w:multiLevelType w:val="multilevel"/>
    <w:tmpl w:val="94A6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24557"/>
    <w:multiLevelType w:val="multilevel"/>
    <w:tmpl w:val="C096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04A26"/>
    <w:multiLevelType w:val="multilevel"/>
    <w:tmpl w:val="D0F4C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523A8D"/>
    <w:multiLevelType w:val="multilevel"/>
    <w:tmpl w:val="06540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A9379B"/>
    <w:multiLevelType w:val="multilevel"/>
    <w:tmpl w:val="078A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939E8"/>
    <w:multiLevelType w:val="multilevel"/>
    <w:tmpl w:val="7A6E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B65268"/>
    <w:multiLevelType w:val="multilevel"/>
    <w:tmpl w:val="4BB0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D40482"/>
    <w:multiLevelType w:val="multilevel"/>
    <w:tmpl w:val="19C02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CC1AFA"/>
    <w:multiLevelType w:val="multilevel"/>
    <w:tmpl w:val="587C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AD55C3"/>
    <w:multiLevelType w:val="multilevel"/>
    <w:tmpl w:val="D59EC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5C23EF"/>
    <w:multiLevelType w:val="multilevel"/>
    <w:tmpl w:val="75C0D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683B16"/>
    <w:multiLevelType w:val="multilevel"/>
    <w:tmpl w:val="DBE43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0008EC"/>
    <w:multiLevelType w:val="multilevel"/>
    <w:tmpl w:val="E9E8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F75242"/>
    <w:multiLevelType w:val="multilevel"/>
    <w:tmpl w:val="F4F8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21746A"/>
    <w:multiLevelType w:val="multilevel"/>
    <w:tmpl w:val="C6DED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8F093A"/>
    <w:multiLevelType w:val="multilevel"/>
    <w:tmpl w:val="6EB80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984135"/>
    <w:multiLevelType w:val="multilevel"/>
    <w:tmpl w:val="B46A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2425D6"/>
    <w:multiLevelType w:val="multilevel"/>
    <w:tmpl w:val="610EA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EAF0017"/>
    <w:multiLevelType w:val="multilevel"/>
    <w:tmpl w:val="628C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F50966"/>
    <w:multiLevelType w:val="multilevel"/>
    <w:tmpl w:val="8A4C1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C2575A"/>
    <w:multiLevelType w:val="multilevel"/>
    <w:tmpl w:val="D5AA9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660DC7"/>
    <w:multiLevelType w:val="multilevel"/>
    <w:tmpl w:val="77B8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842AF1"/>
    <w:multiLevelType w:val="multilevel"/>
    <w:tmpl w:val="4FE0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1D083F"/>
    <w:multiLevelType w:val="multilevel"/>
    <w:tmpl w:val="1F16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0254559">
    <w:abstractNumId w:val="6"/>
  </w:num>
  <w:num w:numId="2" w16cid:durableId="1705058991">
    <w:abstractNumId w:val="0"/>
  </w:num>
  <w:num w:numId="3" w16cid:durableId="2020496384">
    <w:abstractNumId w:val="16"/>
  </w:num>
  <w:num w:numId="4" w16cid:durableId="209613844">
    <w:abstractNumId w:val="15"/>
  </w:num>
  <w:num w:numId="5" w16cid:durableId="279991675">
    <w:abstractNumId w:val="1"/>
  </w:num>
  <w:num w:numId="6" w16cid:durableId="1758207092">
    <w:abstractNumId w:val="5"/>
  </w:num>
  <w:num w:numId="7" w16cid:durableId="1761178837">
    <w:abstractNumId w:val="14"/>
  </w:num>
  <w:num w:numId="8" w16cid:durableId="620383045">
    <w:abstractNumId w:val="22"/>
  </w:num>
  <w:num w:numId="9" w16cid:durableId="726687856">
    <w:abstractNumId w:val="18"/>
  </w:num>
  <w:num w:numId="10" w16cid:durableId="1489320074">
    <w:abstractNumId w:val="21"/>
  </w:num>
  <w:num w:numId="11" w16cid:durableId="512260769">
    <w:abstractNumId w:val="13"/>
  </w:num>
  <w:num w:numId="12" w16cid:durableId="1359428661">
    <w:abstractNumId w:val="10"/>
  </w:num>
  <w:num w:numId="13" w16cid:durableId="490604137">
    <w:abstractNumId w:val="25"/>
  </w:num>
  <w:num w:numId="14" w16cid:durableId="325326601">
    <w:abstractNumId w:val="12"/>
  </w:num>
  <w:num w:numId="15" w16cid:durableId="1599944286">
    <w:abstractNumId w:val="19"/>
  </w:num>
  <w:num w:numId="16" w16cid:durableId="630482833">
    <w:abstractNumId w:val="20"/>
  </w:num>
  <w:num w:numId="17" w16cid:durableId="1854997246">
    <w:abstractNumId w:val="4"/>
  </w:num>
  <w:num w:numId="18" w16cid:durableId="230621194">
    <w:abstractNumId w:val="24"/>
  </w:num>
  <w:num w:numId="19" w16cid:durableId="1407335155">
    <w:abstractNumId w:val="9"/>
  </w:num>
  <w:num w:numId="20" w16cid:durableId="557908928">
    <w:abstractNumId w:val="8"/>
  </w:num>
  <w:num w:numId="21" w16cid:durableId="681664892">
    <w:abstractNumId w:val="23"/>
  </w:num>
  <w:num w:numId="22" w16cid:durableId="1010176981">
    <w:abstractNumId w:val="3"/>
  </w:num>
  <w:num w:numId="23" w16cid:durableId="1640376924">
    <w:abstractNumId w:val="2"/>
  </w:num>
  <w:num w:numId="24" w16cid:durableId="185754539">
    <w:abstractNumId w:val="7"/>
  </w:num>
  <w:num w:numId="25" w16cid:durableId="709963543">
    <w:abstractNumId w:val="11"/>
  </w:num>
  <w:num w:numId="26" w16cid:durableId="190259597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811"/>
    <w:rsid w:val="000173D4"/>
    <w:rsid w:val="00062F72"/>
    <w:rsid w:val="000B1061"/>
    <w:rsid w:val="00132457"/>
    <w:rsid w:val="001743F1"/>
    <w:rsid w:val="001E6961"/>
    <w:rsid w:val="00273A93"/>
    <w:rsid w:val="004172BA"/>
    <w:rsid w:val="00431C19"/>
    <w:rsid w:val="00435278"/>
    <w:rsid w:val="0050418A"/>
    <w:rsid w:val="00603984"/>
    <w:rsid w:val="006602DD"/>
    <w:rsid w:val="006E21AC"/>
    <w:rsid w:val="00733074"/>
    <w:rsid w:val="00767309"/>
    <w:rsid w:val="00806394"/>
    <w:rsid w:val="00834736"/>
    <w:rsid w:val="008E4489"/>
    <w:rsid w:val="008F2B43"/>
    <w:rsid w:val="00901323"/>
    <w:rsid w:val="00954527"/>
    <w:rsid w:val="00997892"/>
    <w:rsid w:val="009F0EE5"/>
    <w:rsid w:val="00B02E81"/>
    <w:rsid w:val="00B32BD1"/>
    <w:rsid w:val="00BE4BF6"/>
    <w:rsid w:val="00C01DE3"/>
    <w:rsid w:val="00C05075"/>
    <w:rsid w:val="00C8663F"/>
    <w:rsid w:val="00C8686A"/>
    <w:rsid w:val="00D02F6B"/>
    <w:rsid w:val="00D34811"/>
    <w:rsid w:val="00DB4E42"/>
    <w:rsid w:val="00DD1528"/>
    <w:rsid w:val="00DE4194"/>
    <w:rsid w:val="00E47C4E"/>
    <w:rsid w:val="00EB421C"/>
    <w:rsid w:val="00F5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11EF92"/>
  <w15:chartTrackingRefBased/>
  <w15:docId w15:val="{612D8F58-0BFD-B742-BF58-EFDEE7CF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4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48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48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48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48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48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48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48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8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48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48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48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48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48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48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48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48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4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4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48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48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48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48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48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48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48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48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48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811"/>
  </w:style>
  <w:style w:type="paragraph" w:styleId="Footer">
    <w:name w:val="footer"/>
    <w:basedOn w:val="Normal"/>
    <w:link w:val="Foot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811"/>
  </w:style>
  <w:style w:type="table" w:styleId="TableGrid">
    <w:name w:val="Table Grid"/>
    <w:basedOn w:val="TableNormal"/>
    <w:uiPriority w:val="39"/>
    <w:rsid w:val="00C86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8663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8E44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0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6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0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6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9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8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90B0667-8772-2C49-9ACD-A87C547BE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Leung</dc:creator>
  <cp:keywords/>
  <dc:description/>
  <cp:lastModifiedBy>Peter Leung</cp:lastModifiedBy>
  <cp:revision>4</cp:revision>
  <dcterms:created xsi:type="dcterms:W3CDTF">2025-07-29T03:06:00Z</dcterms:created>
  <dcterms:modified xsi:type="dcterms:W3CDTF">2025-07-30T03:12:00Z</dcterms:modified>
</cp:coreProperties>
</file>